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2371090</wp:posOffset>
                  </wp:positionH>
                  <wp:positionV relativeFrom="paragraph">
                    <wp:posOffset>-914398</wp:posOffset>
                  </wp:positionV>
                  <wp:extent cx="914400" cy="903605"/>
                  <wp:effectExtent b="0" l="0" r="0" t="0"/>
                  <wp:wrapSquare wrapText="bothSides" distB="0" distT="0" distL="114300" distR="114300"/>
                  <wp:docPr id="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36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3">
      <w:pPr>
        <w:bidi w:val="1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التحقق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من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عدم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تضارب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المصالح</w:t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b w:val="1"/>
          <w:u w:val="single"/>
          <w:rtl w:val="1"/>
        </w:rPr>
        <w:t xml:space="preserve">التاريخ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color w:val="ff0000"/>
          <w:rtl w:val="0"/>
        </w:rPr>
        <w:t xml:space="preserve">xx/xx/xxxx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1"/>
        </w:rPr>
        <w:t xml:space="preserve">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قائمة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الموردين</w:t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مورد</w:t>
            </w:r>
            <w:r w:rsidDel="00000000" w:rsidR="00000000" w:rsidRPr="00000000">
              <w:rPr>
                <w:rtl w:val="1"/>
              </w:rPr>
              <w:t xml:space="preserve"> 1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مورد</w:t>
            </w:r>
            <w:r w:rsidDel="00000000" w:rsidR="00000000" w:rsidRPr="00000000">
              <w:rPr>
                <w:rtl w:val="1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مورد</w:t>
            </w:r>
            <w:r w:rsidDel="00000000" w:rsidR="00000000" w:rsidRPr="00000000">
              <w:rPr>
                <w:rtl w:val="1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مورد</w:t>
            </w:r>
            <w:r w:rsidDel="00000000" w:rsidR="00000000" w:rsidRPr="00000000">
              <w:rPr>
                <w:rtl w:val="1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مورد</w:t>
            </w:r>
            <w:r w:rsidDel="00000000" w:rsidR="00000000" w:rsidRPr="00000000">
              <w:rPr>
                <w:rtl w:val="1"/>
              </w:rPr>
              <w:t xml:space="preserve"> 5</w:t>
            </w:r>
          </w:p>
        </w:tc>
      </w:tr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أخلاقيات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مؤسستنا</w:t>
      </w:r>
      <w:r w:rsidDel="00000000" w:rsidR="00000000" w:rsidRPr="00000000">
        <w:rPr>
          <w:rtl w:val="1"/>
        </w:rPr>
        <w:t xml:space="preserve"> ،" ،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بالمشتريات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محايدة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متحيزة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للجمعية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تنجم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أقاربه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المقربين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الموردين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اعتقادهم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الموقعون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بالتزامنا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مدونة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أخلاقيات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المشتريات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الموردين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الأسم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المركز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التاريخ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توقيع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المشتريات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A066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F3AB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F3AB3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6559E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559E"/>
  </w:style>
  <w:style w:type="paragraph" w:styleId="Footer">
    <w:name w:val="footer"/>
    <w:basedOn w:val="Normal"/>
    <w:link w:val="FooterChar"/>
    <w:uiPriority w:val="99"/>
    <w:unhideWhenUsed w:val="1"/>
    <w:rsid w:val="0096559E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559E"/>
  </w:style>
  <w:style w:type="paragraph" w:styleId="NormalWeb">
    <w:name w:val="Normal (Web)"/>
    <w:basedOn w:val="Normal"/>
    <w:uiPriority w:val="99"/>
    <w:unhideWhenUsed w:val="1"/>
    <w:rsid w:val="001E16E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hNGWKGzMlTP+2m3B4XG1cZoaeQ==">AMUW2mVY8ZRSOymj2qT76nIid8wIKG21QrgN+8CghPKVA6wk9oF30iAqmBKMWE20ePI4WnGcb2c6ljA049PfxTtRFjpmhRRi/NHLkihGRVrdVnl4onQ2GF5ayUOE37q1df6OOcT4tjgo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2022-09-20T06:33:00Z</dcterms:created>
  <dc:creator>Logistics</dc:creator>
</cp:coreProperties>
</file>